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A0067">
      <w:pPr>
        <w:autoSpaceDE/>
        <w:autoSpaceDN/>
        <w:spacing w:after="120" w:afterLines="50" w:line="600" w:lineRule="exact"/>
        <w:jc w:val="center"/>
        <w:rPr>
          <w:rFonts w:hint="eastAsia" w:ascii="华文中宋" w:hAnsi="华文中宋" w:eastAsia="华文中宋" w:cs="方正小标宋简体"/>
          <w:color w:val="000000"/>
          <w:kern w:val="2"/>
          <w:sz w:val="36"/>
          <w:szCs w:val="36"/>
        </w:rPr>
      </w:pPr>
      <w:r>
        <w:rPr>
          <w:rFonts w:hint="eastAsia" w:ascii="华文中宋" w:hAnsi="华文中宋" w:eastAsia="华文中宋" w:cs="方正小标宋简体"/>
          <w:color w:val="000000"/>
          <w:kern w:val="2"/>
          <w:sz w:val="36"/>
          <w:szCs w:val="36"/>
        </w:rPr>
        <w:t>新闻业务研究作品推荐表</w:t>
      </w:r>
    </w:p>
    <w:tbl>
      <w:tblPr>
        <w:tblStyle w:val="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5"/>
        <w:gridCol w:w="136"/>
        <w:gridCol w:w="289"/>
        <w:gridCol w:w="165"/>
        <w:gridCol w:w="119"/>
        <w:gridCol w:w="425"/>
        <w:gridCol w:w="283"/>
        <w:gridCol w:w="284"/>
        <w:gridCol w:w="992"/>
        <w:gridCol w:w="1134"/>
        <w:gridCol w:w="284"/>
        <w:gridCol w:w="567"/>
        <w:gridCol w:w="425"/>
        <w:gridCol w:w="142"/>
        <w:gridCol w:w="141"/>
        <w:gridCol w:w="134"/>
        <w:gridCol w:w="859"/>
        <w:gridCol w:w="141"/>
        <w:gridCol w:w="142"/>
        <w:gridCol w:w="280"/>
        <w:gridCol w:w="571"/>
        <w:gridCol w:w="137"/>
        <w:gridCol w:w="855"/>
      </w:tblGrid>
      <w:tr w14:paraId="5308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1441" w:type="dxa"/>
            <w:gridSpan w:val="5"/>
            <w:vAlign w:val="center"/>
          </w:tcPr>
          <w:p w14:paraId="14F03F30">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作品标题</w:t>
            </w:r>
          </w:p>
        </w:tc>
        <w:tc>
          <w:tcPr>
            <w:tcW w:w="6352" w:type="dxa"/>
            <w:gridSpan w:val="16"/>
            <w:vAlign w:val="center"/>
          </w:tcPr>
          <w:p w14:paraId="745673AE">
            <w:pPr>
              <w:autoSpaceDE/>
              <w:autoSpaceDN/>
              <w:spacing w:line="300" w:lineRule="exact"/>
              <w:jc w:val="both"/>
              <w:rPr>
                <w:rFonts w:hint="eastAsia" w:ascii="华文中宋" w:hAnsi="华文中宋" w:eastAsia="华文中宋" w:cs="Times New Roman"/>
                <w:kern w:val="2"/>
                <w:sz w:val="21"/>
                <w:szCs w:val="21"/>
              </w:rPr>
            </w:pPr>
            <w:r>
              <w:rPr>
                <w:rFonts w:hint="eastAsia" w:ascii="仿宋" w:hAnsi="仿宋" w:eastAsia="仿宋" w:cs="仿宋"/>
                <w:color w:val="000000"/>
                <w:kern w:val="2"/>
                <w:sz w:val="21"/>
                <w:szCs w:val="21"/>
              </w:rPr>
              <w:t>微短剧全球传播中“使用与满足”理论的实践与探索</w:t>
            </w:r>
          </w:p>
        </w:tc>
        <w:tc>
          <w:tcPr>
            <w:tcW w:w="708" w:type="dxa"/>
            <w:gridSpan w:val="2"/>
            <w:vAlign w:val="center"/>
          </w:tcPr>
          <w:p w14:paraId="637C2CB6">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4"/>
              </w:rPr>
              <w:t>字数</w:t>
            </w:r>
          </w:p>
        </w:tc>
        <w:tc>
          <w:tcPr>
            <w:tcW w:w="855" w:type="dxa"/>
            <w:vAlign w:val="center"/>
          </w:tcPr>
          <w:p w14:paraId="7E99CED2">
            <w:pPr>
              <w:autoSpaceDE/>
              <w:autoSpaceDN/>
              <w:spacing w:line="300" w:lineRule="exact"/>
              <w:jc w:val="both"/>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3340</w:t>
            </w:r>
          </w:p>
        </w:tc>
      </w:tr>
      <w:tr w14:paraId="3252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51" w:type="dxa"/>
            <w:gridSpan w:val="2"/>
            <w:vAlign w:val="center"/>
          </w:tcPr>
          <w:p w14:paraId="168C2B29">
            <w:pPr>
              <w:autoSpaceDE/>
              <w:autoSpaceDN/>
              <w:spacing w:line="300" w:lineRule="exact"/>
              <w:jc w:val="center"/>
              <w:rPr>
                <w:rFonts w:hint="eastAsia" w:ascii="华文中宋" w:hAnsi="华文中宋" w:eastAsia="华文中宋" w:cs="Times New Roman"/>
                <w:color w:val="000000"/>
                <w:spacing w:val="-12"/>
                <w:kern w:val="2"/>
                <w:sz w:val="28"/>
              </w:rPr>
            </w:pPr>
            <w:r>
              <w:rPr>
                <w:rFonts w:hint="eastAsia" w:ascii="华文中宋" w:hAnsi="华文中宋" w:eastAsia="华文中宋" w:cs="Times New Roman"/>
                <w:color w:val="000000"/>
                <w:spacing w:val="-12"/>
                <w:kern w:val="2"/>
                <w:sz w:val="28"/>
              </w:rPr>
              <w:t>作者</w:t>
            </w:r>
          </w:p>
        </w:tc>
        <w:tc>
          <w:tcPr>
            <w:tcW w:w="4678" w:type="dxa"/>
            <w:gridSpan w:val="11"/>
            <w:vAlign w:val="center"/>
          </w:tcPr>
          <w:p w14:paraId="63CC0EBF">
            <w:pPr>
              <w:autoSpaceDE/>
              <w:autoSpaceDN/>
              <w:spacing w:line="300" w:lineRule="exact"/>
              <w:jc w:val="both"/>
              <w:rPr>
                <w:rFonts w:hint="eastAsia" w:ascii="仿宋_GB2312" w:hAnsi="华文中宋" w:eastAsia="仿宋" w:cs="Times New Roman"/>
                <w:color w:val="000000"/>
                <w:kern w:val="2"/>
                <w:sz w:val="21"/>
                <w:szCs w:val="21"/>
                <w:lang w:eastAsia="zh-CN"/>
              </w:rPr>
            </w:pPr>
            <w:r>
              <w:rPr>
                <w:rFonts w:hint="eastAsia" w:ascii="仿宋" w:hAnsi="仿宋" w:eastAsia="仿宋" w:cs="仿宋"/>
                <w:color w:val="000000"/>
                <w:kern w:val="2"/>
                <w:sz w:val="21"/>
                <w:szCs w:val="21"/>
              </w:rPr>
              <w:t>陈昊、吴涧梁</w:t>
            </w:r>
            <w:r>
              <w:rPr>
                <w:rFonts w:hint="eastAsia" w:ascii="仿宋" w:hAnsi="仿宋" w:eastAsia="仿宋" w:cs="仿宋"/>
                <w:color w:val="000000"/>
                <w:kern w:val="2"/>
                <w:sz w:val="21"/>
                <w:szCs w:val="21"/>
                <w:lang w:eastAsia="zh-CN"/>
              </w:rPr>
              <w:t>、</w:t>
            </w:r>
            <w:r>
              <w:rPr>
                <w:rFonts w:hint="eastAsia" w:ascii="仿宋" w:hAnsi="仿宋" w:eastAsia="仿宋" w:cs="仿宋"/>
                <w:color w:val="000000"/>
                <w:kern w:val="2"/>
                <w:sz w:val="21"/>
                <w:szCs w:val="21"/>
              </w:rPr>
              <w:t>梁舒琦</w:t>
            </w:r>
          </w:p>
        </w:tc>
        <w:tc>
          <w:tcPr>
            <w:tcW w:w="842" w:type="dxa"/>
            <w:gridSpan w:val="4"/>
            <w:vAlign w:val="center"/>
          </w:tcPr>
          <w:p w14:paraId="52326073">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编辑</w:t>
            </w:r>
          </w:p>
        </w:tc>
        <w:tc>
          <w:tcPr>
            <w:tcW w:w="2985" w:type="dxa"/>
            <w:gridSpan w:val="7"/>
            <w:vAlign w:val="center"/>
          </w:tcPr>
          <w:p w14:paraId="08584E77">
            <w:pPr>
              <w:autoSpaceDE/>
              <w:autoSpaceDN/>
              <w:spacing w:line="300" w:lineRule="exact"/>
              <w:jc w:val="both"/>
              <w:rPr>
                <w:rFonts w:hint="eastAsia" w:ascii="仿宋" w:hAnsi="仿宋" w:eastAsia="仿宋" w:cs="Times New Roman"/>
                <w:color w:val="000000"/>
                <w:w w:val="95"/>
                <w:kern w:val="2"/>
                <w:sz w:val="21"/>
                <w:szCs w:val="21"/>
              </w:rPr>
            </w:pPr>
          </w:p>
        </w:tc>
      </w:tr>
      <w:tr w14:paraId="75A1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276" w:type="dxa"/>
            <w:gridSpan w:val="4"/>
            <w:vAlign w:val="center"/>
          </w:tcPr>
          <w:p w14:paraId="5B948754">
            <w:pPr>
              <w:autoSpaceDE/>
              <w:autoSpaceDN/>
              <w:spacing w:line="300" w:lineRule="exact"/>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刊登刊物名称</w:t>
            </w:r>
          </w:p>
        </w:tc>
        <w:tc>
          <w:tcPr>
            <w:tcW w:w="3402" w:type="dxa"/>
            <w:gridSpan w:val="7"/>
            <w:vAlign w:val="center"/>
          </w:tcPr>
          <w:p w14:paraId="1360BDE5">
            <w:pPr>
              <w:autoSpaceDE/>
              <w:autoSpaceDN/>
              <w:spacing w:line="300" w:lineRule="exact"/>
              <w:ind w:firstLine="420"/>
              <w:jc w:val="both"/>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融媒前沿</w:t>
            </w:r>
          </w:p>
        </w:tc>
        <w:tc>
          <w:tcPr>
            <w:tcW w:w="1418" w:type="dxa"/>
            <w:gridSpan w:val="4"/>
            <w:vAlign w:val="center"/>
          </w:tcPr>
          <w:p w14:paraId="542BC35A">
            <w:pPr>
              <w:autoSpaceDE/>
              <w:autoSpaceDN/>
              <w:spacing w:line="300" w:lineRule="exact"/>
              <w:jc w:val="both"/>
              <w:rPr>
                <w:rFonts w:hint="eastAsia" w:ascii="华文中宋" w:hAnsi="华文中宋" w:eastAsia="华文中宋" w:cs="Times New Roman"/>
                <w:color w:val="000000"/>
                <w:kern w:val="2"/>
                <w:sz w:val="28"/>
                <w:szCs w:val="28"/>
              </w:rPr>
            </w:pPr>
            <w:r>
              <w:rPr>
                <w:rFonts w:hint="eastAsia" w:ascii="华文中宋" w:hAnsi="华文中宋" w:eastAsia="华文中宋" w:cs="Times New Roman"/>
                <w:color w:val="000000"/>
                <w:kern w:val="2"/>
                <w:sz w:val="28"/>
                <w:szCs w:val="28"/>
              </w:rPr>
              <w:t>刊物国内统一刊号</w:t>
            </w:r>
          </w:p>
        </w:tc>
        <w:tc>
          <w:tcPr>
            <w:tcW w:w="3260" w:type="dxa"/>
            <w:gridSpan w:val="9"/>
            <w:vAlign w:val="center"/>
          </w:tcPr>
          <w:p w14:paraId="0E1C82E0">
            <w:pPr>
              <w:autoSpaceDE/>
              <w:autoSpaceDN/>
              <w:spacing w:line="300" w:lineRule="exact"/>
              <w:jc w:val="both"/>
              <w:rPr>
                <w:rFonts w:hint="default" w:ascii="仿宋_GB2312" w:hAnsi="仿宋" w:eastAsia="仿宋_GB2312" w:cs="Times New Roman"/>
                <w:color w:val="000000"/>
                <w:kern w:val="2"/>
                <w:sz w:val="18"/>
                <w:szCs w:val="18"/>
                <w:highlight w:val="green"/>
                <w:lang w:val="en-US" w:eastAsia="zh-CN"/>
              </w:rPr>
            </w:pPr>
            <w:r>
              <w:rPr>
                <w:rFonts w:hint="eastAsia" w:ascii="仿宋" w:hAnsi="仿宋" w:eastAsia="仿宋" w:cs="仿宋"/>
                <w:color w:val="000000"/>
                <w:kern w:val="2"/>
                <w:sz w:val="18"/>
                <w:szCs w:val="18"/>
                <w:highlight w:val="none"/>
                <w:lang w:val="en-US"/>
              </w:rPr>
              <w:t>CN 44</w:t>
            </w:r>
            <w:r>
              <w:rPr>
                <w:rFonts w:hint="eastAsia" w:ascii="仿宋" w:hAnsi="仿宋" w:eastAsia="仿宋" w:cs="仿宋"/>
                <w:color w:val="000000"/>
                <w:kern w:val="2"/>
                <w:sz w:val="18"/>
                <w:szCs w:val="18"/>
                <w:highlight w:val="none"/>
                <w:lang w:val="en-US" w:eastAsia="zh-CN"/>
              </w:rPr>
              <w:t>-1762/G2</w:t>
            </w:r>
          </w:p>
        </w:tc>
      </w:tr>
      <w:tr w14:paraId="6B54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2268" w:type="dxa"/>
            <w:gridSpan w:val="8"/>
            <w:vAlign w:val="center"/>
          </w:tcPr>
          <w:p w14:paraId="4029A29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刊登栏目或版面</w:t>
            </w:r>
          </w:p>
        </w:tc>
        <w:tc>
          <w:tcPr>
            <w:tcW w:w="3828" w:type="dxa"/>
            <w:gridSpan w:val="7"/>
            <w:vAlign w:val="center"/>
          </w:tcPr>
          <w:p w14:paraId="7DF479C0">
            <w:pPr>
              <w:autoSpaceDE/>
              <w:autoSpaceDN/>
              <w:spacing w:line="300" w:lineRule="exact"/>
              <w:jc w:val="both"/>
              <w:rPr>
                <w:rFonts w:hint="eastAsia"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百家争鸣</w:t>
            </w:r>
          </w:p>
        </w:tc>
        <w:tc>
          <w:tcPr>
            <w:tcW w:w="1417" w:type="dxa"/>
            <w:gridSpan w:val="5"/>
            <w:vAlign w:val="center"/>
          </w:tcPr>
          <w:p w14:paraId="0DD0DAA0">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刊播日期</w:t>
            </w:r>
          </w:p>
        </w:tc>
        <w:tc>
          <w:tcPr>
            <w:tcW w:w="1843" w:type="dxa"/>
            <w:gridSpan w:val="4"/>
            <w:vAlign w:val="center"/>
          </w:tcPr>
          <w:p w14:paraId="191CFCC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2025年</w:t>
            </w:r>
            <w:r>
              <w:rPr>
                <w:rFonts w:hint="eastAsia" w:ascii="仿宋" w:hAnsi="仿宋" w:eastAsia="仿宋" w:cs="Times New Roman"/>
                <w:color w:val="000000"/>
                <w:kern w:val="2"/>
                <w:sz w:val="21"/>
                <w:szCs w:val="21"/>
                <w:lang w:val="en-US" w:eastAsia="zh-CN"/>
              </w:rPr>
              <w:t>7</w:t>
            </w:r>
            <w:r>
              <w:rPr>
                <w:rFonts w:hint="eastAsia" w:ascii="仿宋" w:hAnsi="仿宋" w:eastAsia="仿宋" w:cs="Times New Roman"/>
                <w:color w:val="000000"/>
                <w:kern w:val="2"/>
                <w:sz w:val="21"/>
                <w:szCs w:val="21"/>
              </w:rPr>
              <w:t>月</w:t>
            </w:r>
          </w:p>
        </w:tc>
      </w:tr>
      <w:tr w14:paraId="04DF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987" w:type="dxa"/>
            <w:gridSpan w:val="3"/>
            <w:vAlign w:val="center"/>
          </w:tcPr>
          <w:p w14:paraId="5A4C4EC4">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 xml:space="preserve">  ︵</w:t>
            </w:r>
          </w:p>
          <w:p w14:paraId="275AA5F7">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作采</w:t>
            </w:r>
          </w:p>
          <w:p w14:paraId="0D63721E">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品编</w:t>
            </w:r>
          </w:p>
          <w:p w14:paraId="2E359DB9">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简过</w:t>
            </w:r>
          </w:p>
          <w:p w14:paraId="440E8EA6">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介程</w:t>
            </w:r>
          </w:p>
          <w:p w14:paraId="13BCA21C">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 xml:space="preserve">  ︶</w:t>
            </w:r>
          </w:p>
        </w:tc>
        <w:tc>
          <w:tcPr>
            <w:tcW w:w="8369" w:type="dxa"/>
            <w:gridSpan w:val="21"/>
            <w:vAlign w:val="center"/>
          </w:tcPr>
          <w:p w14:paraId="4283B4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Times New Roman"/>
                <w:color w:val="000000"/>
                <w:w w:val="95"/>
                <w:kern w:val="2"/>
                <w:sz w:val="21"/>
                <w:szCs w:val="21"/>
              </w:rPr>
            </w:pPr>
            <w:r>
              <w:rPr>
                <w:rFonts w:hint="eastAsia" w:ascii="仿宋" w:hAnsi="仿宋" w:eastAsia="仿宋" w:cs="仿宋"/>
                <w:color w:val="000000"/>
                <w:kern w:val="2"/>
                <w:sz w:val="21"/>
                <w:szCs w:val="21"/>
              </w:rPr>
              <w:t>微短剧作为一种蓬勃兴起的数字娱乐形式，在全球范围内赢得了广泛的关注目光。本文将以“使用与满足”理论为基石，紧密结合近几年国内外炙手可热的微短剧案例，从用户认知需求、情感需求以及社会需求这三个维度展开分析。进而总结微短剧在全球化传播过程中所积累的宝贵经验。同时，微短剧在满足用户多种需求的同时，也为全球化传播提供了新的机遇和挑战。</w:t>
            </w:r>
          </w:p>
        </w:tc>
      </w:tr>
      <w:tr w14:paraId="548F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exact"/>
          <w:jc w:val="center"/>
        </w:trPr>
        <w:tc>
          <w:tcPr>
            <w:tcW w:w="987" w:type="dxa"/>
            <w:gridSpan w:val="3"/>
            <w:vAlign w:val="center"/>
          </w:tcPr>
          <w:p w14:paraId="37797D9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社</w:t>
            </w:r>
          </w:p>
          <w:p w14:paraId="23035C76">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会</w:t>
            </w:r>
          </w:p>
          <w:p w14:paraId="5121E766">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效</w:t>
            </w:r>
          </w:p>
          <w:p w14:paraId="0790B2D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果</w:t>
            </w:r>
          </w:p>
        </w:tc>
        <w:tc>
          <w:tcPr>
            <w:tcW w:w="8369" w:type="dxa"/>
            <w:gridSpan w:val="21"/>
            <w:vAlign w:val="center"/>
          </w:tcPr>
          <w:p w14:paraId="5C4DE05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该</w:t>
            </w:r>
            <w:r>
              <w:rPr>
                <w:rFonts w:hint="eastAsia" w:ascii="仿宋" w:hAnsi="仿宋" w:eastAsia="仿宋" w:cs="仿宋"/>
                <w:color w:val="000000"/>
                <w:kern w:val="2"/>
                <w:sz w:val="21"/>
                <w:szCs w:val="21"/>
                <w:lang w:val="en-US" w:eastAsia="zh-CN"/>
              </w:rPr>
              <w:t>论文</w:t>
            </w:r>
            <w:r>
              <w:rPr>
                <w:rFonts w:hint="eastAsia" w:ascii="仿宋" w:hAnsi="仿宋" w:eastAsia="仿宋" w:cs="仿宋"/>
                <w:color w:val="000000"/>
                <w:kern w:val="2"/>
                <w:sz w:val="21"/>
                <w:szCs w:val="21"/>
              </w:rPr>
              <w:t>系统剖析微短剧在跨文化语境中的适应机制与用户心理，为行业出海提供了理论参照与实践路径。文中指出的内容质量参差、本土化不足、合规风险等问题，促使制作方与平台更加注重内容创新与文化适配。同时，深化了对微短剧传播逻辑的理解，促进了业界在全球化进程中兼顾用户需求与文化尊重，具有积极的学术价值与现实指导意义。</w:t>
            </w:r>
          </w:p>
        </w:tc>
      </w:tr>
      <w:tr w14:paraId="6E2F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390631F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传</w:t>
            </w:r>
          </w:p>
          <w:p w14:paraId="4E0F8D5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播</w:t>
            </w:r>
          </w:p>
          <w:p w14:paraId="43E03F4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数</w:t>
            </w:r>
          </w:p>
          <w:p w14:paraId="5E804CF2">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据</w:t>
            </w:r>
          </w:p>
        </w:tc>
        <w:tc>
          <w:tcPr>
            <w:tcW w:w="854" w:type="dxa"/>
            <w:gridSpan w:val="5"/>
            <w:vMerge w:val="restart"/>
            <w:tcBorders>
              <w:top w:val="single" w:color="auto" w:sz="4" w:space="0"/>
              <w:left w:val="single" w:color="auto" w:sz="4" w:space="0"/>
              <w:bottom w:val="single" w:color="auto" w:sz="4" w:space="0"/>
              <w:right w:val="single" w:color="auto" w:sz="4" w:space="0"/>
            </w:tcBorders>
            <w:vAlign w:val="center"/>
          </w:tcPr>
          <w:p w14:paraId="57803939">
            <w:pPr>
              <w:autoSpaceDE/>
              <w:autoSpaceDN/>
              <w:spacing w:line="300" w:lineRule="exact"/>
              <w:jc w:val="center"/>
              <w:rPr>
                <w:rFonts w:hint="eastAsia" w:ascii="仿宋" w:hAnsi="仿宋" w:eastAsia="仿宋" w:cs="仿宋"/>
                <w:color w:val="000000"/>
                <w:spacing w:val="-10"/>
                <w:kern w:val="2"/>
                <w:sz w:val="21"/>
                <w:szCs w:val="21"/>
              </w:rPr>
            </w:pPr>
            <w:r>
              <w:rPr>
                <w:rFonts w:hint="eastAsia" w:ascii="仿宋" w:hAnsi="仿宋" w:eastAsia="仿宋" w:cs="仿宋"/>
                <w:color w:val="000000"/>
                <w:spacing w:val="-10"/>
                <w:kern w:val="2"/>
                <w:sz w:val="21"/>
                <w:szCs w:val="21"/>
              </w:rPr>
              <w:t>新媒体传播</w:t>
            </w:r>
            <w:r>
              <w:rPr>
                <w:rFonts w:hint="eastAsia" w:ascii="仿宋" w:hAnsi="仿宋" w:eastAsia="仿宋" w:cs="仿宋"/>
                <w:color w:val="000000"/>
                <w:kern w:val="2"/>
                <w:sz w:val="21"/>
                <w:szCs w:val="21"/>
              </w:rPr>
              <w:t>平台网址</w:t>
            </w:r>
          </w:p>
        </w:tc>
        <w:tc>
          <w:tcPr>
            <w:tcW w:w="425" w:type="dxa"/>
            <w:tcBorders>
              <w:top w:val="single" w:color="auto" w:sz="4" w:space="0"/>
              <w:left w:val="single" w:color="auto" w:sz="4" w:space="0"/>
              <w:bottom w:val="single" w:color="auto" w:sz="4" w:space="0"/>
              <w:right w:val="single" w:color="auto" w:sz="4" w:space="0"/>
            </w:tcBorders>
            <w:vAlign w:val="center"/>
          </w:tcPr>
          <w:p w14:paraId="04A841F9">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1</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51A867F2">
            <w:pPr>
              <w:autoSpaceDE/>
              <w:autoSpaceDN/>
              <w:spacing w:line="300" w:lineRule="exact"/>
              <w:jc w:val="both"/>
              <w:rPr>
                <w:rFonts w:hint="eastAsia" w:ascii="仿宋" w:hAnsi="仿宋" w:eastAsia="仿宋" w:cs="Times New Roman"/>
                <w:color w:val="000000"/>
                <w:kern w:val="2"/>
                <w:sz w:val="21"/>
                <w:szCs w:val="21"/>
              </w:rPr>
            </w:pPr>
          </w:p>
        </w:tc>
      </w:tr>
      <w:tr w14:paraId="2F32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115472B1">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30D45339">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30DC5A84">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2</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632DA5E2">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tc>
      </w:tr>
      <w:tr w14:paraId="4019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622087B6">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6108AC5F">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BC76AB5">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3</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41D3E6DA">
            <w:pPr>
              <w:autoSpaceDE/>
              <w:autoSpaceDN/>
              <w:spacing w:line="300" w:lineRule="exact"/>
              <w:jc w:val="both"/>
              <w:rPr>
                <w:rFonts w:hint="eastAsia" w:ascii="仿宋" w:hAnsi="仿宋" w:eastAsia="仿宋" w:cs="Times New Roman"/>
                <w:color w:val="000000"/>
                <w:kern w:val="2"/>
                <w:sz w:val="21"/>
                <w:szCs w:val="21"/>
              </w:rPr>
            </w:pPr>
          </w:p>
        </w:tc>
      </w:tr>
      <w:tr w14:paraId="0665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41070EEF">
            <w:pPr>
              <w:widowControl/>
              <w:autoSpaceDE/>
              <w:autoSpaceDN/>
              <w:spacing w:line="300" w:lineRule="exact"/>
              <w:rPr>
                <w:rFonts w:hint="eastAsia" w:ascii="华文中宋" w:hAnsi="华文中宋" w:eastAsia="华文中宋" w:cs="Times New Roman"/>
                <w:color w:val="000000"/>
                <w:kern w:val="2"/>
                <w:sz w:val="28"/>
              </w:rPr>
            </w:pPr>
          </w:p>
        </w:tc>
        <w:tc>
          <w:tcPr>
            <w:tcW w:w="2838" w:type="dxa"/>
            <w:gridSpan w:val="9"/>
            <w:tcBorders>
              <w:top w:val="single" w:color="auto" w:sz="4" w:space="0"/>
              <w:left w:val="single" w:color="auto" w:sz="4" w:space="0"/>
              <w:bottom w:val="single" w:color="auto" w:sz="4" w:space="0"/>
              <w:right w:val="single" w:color="auto" w:sz="4" w:space="0"/>
            </w:tcBorders>
            <w:vAlign w:val="center"/>
          </w:tcPr>
          <w:p w14:paraId="03EA03C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阅读量（浏览量、点击量）</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4320787">
            <w:pPr>
              <w:autoSpaceDE/>
              <w:autoSpaceDN/>
              <w:spacing w:line="300" w:lineRule="exact"/>
              <w:jc w:val="both"/>
              <w:rPr>
                <w:rFonts w:hint="eastAsia" w:ascii="仿宋" w:hAnsi="仿宋" w:eastAsia="仿宋" w:cs="Times New Roman"/>
                <w:color w:val="000000"/>
                <w:kern w:val="2"/>
                <w:sz w:val="21"/>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3860A7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转载量</w:t>
            </w: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21E8A963">
            <w:pPr>
              <w:autoSpaceDE/>
              <w:autoSpaceDN/>
              <w:spacing w:line="300" w:lineRule="exact"/>
              <w:jc w:val="both"/>
              <w:rPr>
                <w:rFonts w:hint="eastAsia" w:ascii="仿宋" w:hAnsi="仿宋" w:eastAsia="仿宋" w:cs="Times New Roman"/>
                <w:color w:val="000000"/>
                <w:kern w:val="2"/>
                <w:sz w:val="21"/>
                <w:szCs w:val="21"/>
              </w:rPr>
            </w:pPr>
          </w:p>
        </w:tc>
        <w:tc>
          <w:tcPr>
            <w:tcW w:w="993" w:type="dxa"/>
            <w:gridSpan w:val="3"/>
            <w:tcBorders>
              <w:top w:val="single" w:color="auto" w:sz="4" w:space="0"/>
              <w:left w:val="single" w:color="auto" w:sz="4" w:space="0"/>
              <w:bottom w:val="single" w:color="auto" w:sz="4" w:space="0"/>
              <w:right w:val="single" w:color="auto" w:sz="4" w:space="0"/>
            </w:tcBorders>
            <w:vAlign w:val="center"/>
          </w:tcPr>
          <w:p w14:paraId="4CB920B8">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互动量</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4EFCD5AB">
            <w:pPr>
              <w:autoSpaceDE/>
              <w:autoSpaceDN/>
              <w:spacing w:line="300" w:lineRule="exact"/>
              <w:jc w:val="both"/>
              <w:rPr>
                <w:rFonts w:hint="eastAsia" w:ascii="仿宋" w:hAnsi="仿宋" w:eastAsia="仿宋" w:cs="Times New Roman"/>
                <w:color w:val="000000"/>
                <w:kern w:val="2"/>
                <w:sz w:val="21"/>
                <w:szCs w:val="21"/>
              </w:rPr>
            </w:pPr>
          </w:p>
        </w:tc>
      </w:tr>
      <w:tr w14:paraId="4139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exact"/>
          <w:jc w:val="center"/>
        </w:trPr>
        <w:tc>
          <w:tcPr>
            <w:tcW w:w="1441" w:type="dxa"/>
            <w:gridSpan w:val="5"/>
            <w:tcBorders>
              <w:bottom w:val="single" w:color="auto" w:sz="4" w:space="0"/>
            </w:tcBorders>
            <w:vAlign w:val="center"/>
          </w:tcPr>
          <w:p w14:paraId="086DEE1F">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推荐理由</w:t>
            </w:r>
          </w:p>
        </w:tc>
        <w:tc>
          <w:tcPr>
            <w:tcW w:w="7915" w:type="dxa"/>
            <w:gridSpan w:val="19"/>
            <w:tcBorders>
              <w:bottom w:val="single" w:color="auto" w:sz="4" w:space="0"/>
            </w:tcBorders>
            <w:vAlign w:val="center"/>
          </w:tcPr>
          <w:p w14:paraId="0AA497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Times New Roman"/>
                <w:color w:val="000000"/>
                <w:spacing w:val="-2"/>
                <w:kern w:val="2"/>
                <w:sz w:val="21"/>
                <w:szCs w:val="21"/>
                <w:lang w:val="en-US" w:eastAsia="zh-CN"/>
              </w:rPr>
            </w:pPr>
            <w:r>
              <w:rPr>
                <w:rFonts w:hint="eastAsia" w:ascii="仿宋" w:hAnsi="仿宋" w:eastAsia="仿宋" w:cs="Times New Roman"/>
                <w:color w:val="000000"/>
                <w:kern w:val="2"/>
                <w:sz w:val="21"/>
                <w:szCs w:val="21"/>
              </w:rPr>
              <w:t>本论文立足数字内容全球传播前沿，创新性地将经典传播学“使用与满足”理论应用于这一新兴领域，理论视角扎实且富有阐释力。文章不仅深入剖析了微短剧满足用户认知、情感与社会需求的内在机制，更将视野拓展至全球化传播实践，系统论述了文化适应与内容本地化的策略与路径，体现了强烈的现实关照和国际视野。</w:t>
            </w:r>
            <w:r>
              <w:rPr>
                <w:rFonts w:hint="eastAsia" w:ascii="仿宋" w:hAnsi="仿宋" w:eastAsia="仿宋" w:cs="Times New Roman"/>
                <w:color w:val="000000"/>
                <w:spacing w:val="-2"/>
                <w:kern w:val="2"/>
                <w:sz w:val="21"/>
                <w:szCs w:val="21"/>
                <w:lang w:val="en-US" w:eastAsia="zh-CN"/>
              </w:rPr>
              <w:t xml:space="preserve">   </w:t>
            </w:r>
          </w:p>
          <w:p w14:paraId="6E3BDE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Times New Roman"/>
                <w:color w:val="000000"/>
                <w:spacing w:val="-2"/>
                <w:kern w:val="2"/>
                <w:sz w:val="21"/>
                <w:szCs w:val="21"/>
              </w:rPr>
            </w:pPr>
          </w:p>
          <w:p w14:paraId="112E85B2">
            <w:pPr>
              <w:keepNext w:val="0"/>
              <w:keepLines w:val="0"/>
              <w:pageBreakBefore w:val="0"/>
              <w:widowControl w:val="0"/>
              <w:kinsoku/>
              <w:wordWrap/>
              <w:overflowPunct/>
              <w:topLinePunct w:val="0"/>
              <w:autoSpaceDE/>
              <w:autoSpaceDN/>
              <w:bidi w:val="0"/>
              <w:adjustRightInd/>
              <w:snapToGrid/>
              <w:spacing w:line="360" w:lineRule="exact"/>
              <w:ind w:firstLine="3060" w:firstLineChars="1500"/>
              <w:jc w:val="both"/>
              <w:textAlignment w:val="auto"/>
              <w:rPr>
                <w:rFonts w:hint="eastAsia" w:ascii="仿宋" w:hAnsi="仿宋" w:eastAsia="仿宋" w:cs="Times New Roman"/>
                <w:color w:val="000000"/>
                <w:kern w:val="2"/>
                <w:sz w:val="21"/>
                <w:szCs w:val="21"/>
              </w:rPr>
            </w:pPr>
            <w:r>
              <w:rPr>
                <w:rFonts w:hint="eastAsia" w:ascii="仿宋" w:hAnsi="仿宋" w:eastAsia="仿宋" w:cs="Times New Roman"/>
                <w:color w:val="000000"/>
                <w:spacing w:val="-2"/>
                <w:kern w:val="2"/>
                <w:sz w:val="21"/>
                <w:szCs w:val="21"/>
              </w:rPr>
              <w:t>单位主要负责人签名：</w:t>
            </w:r>
            <w:r>
              <w:rPr>
                <w:rFonts w:hint="eastAsia" w:ascii="仿宋" w:hAnsi="仿宋" w:eastAsia="仿宋" w:cs="Times New Roman"/>
                <w:color w:val="000000"/>
                <w:spacing w:val="-2"/>
                <w:kern w:val="2"/>
                <w:sz w:val="21"/>
                <w:szCs w:val="21"/>
                <w:lang w:val="en-US" w:eastAsia="zh-CN"/>
              </w:rPr>
              <w:t xml:space="preserve">           </w:t>
            </w:r>
            <w:r>
              <w:rPr>
                <w:rFonts w:hint="eastAsia" w:ascii="仿宋" w:hAnsi="仿宋" w:eastAsia="仿宋" w:cs="Times New Roman"/>
                <w:color w:val="000000"/>
                <w:kern w:val="2"/>
                <w:sz w:val="21"/>
                <w:szCs w:val="21"/>
              </w:rPr>
              <w:t>（盖单位公章）</w:t>
            </w:r>
          </w:p>
          <w:p w14:paraId="192ECE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r>
              <w:rPr>
                <w:rFonts w:ascii="仿宋" w:hAnsi="仿宋" w:eastAsia="仿宋" w:cs="Times New Roman"/>
                <w:color w:val="000000"/>
                <w:kern w:val="2"/>
                <w:sz w:val="21"/>
                <w:szCs w:val="21"/>
              </w:rPr>
              <w:t xml:space="preserve">年  </w:t>
            </w:r>
            <w:r>
              <w:rPr>
                <w:rFonts w:hint="eastAsia" w:ascii="仿宋" w:hAnsi="仿宋" w:eastAsia="仿宋" w:cs="Times New Roman"/>
                <w:color w:val="000000"/>
                <w:kern w:val="2"/>
                <w:sz w:val="21"/>
                <w:szCs w:val="21"/>
              </w:rPr>
              <w:t>月</w:t>
            </w:r>
            <w:r>
              <w:rPr>
                <w:rFonts w:ascii="仿宋" w:hAnsi="仿宋" w:eastAsia="仿宋" w:cs="Times New Roman"/>
                <w:color w:val="000000"/>
                <w:kern w:val="2"/>
                <w:sz w:val="21"/>
                <w:szCs w:val="21"/>
              </w:rPr>
              <w:t xml:space="preserve">  </w:t>
            </w:r>
            <w:r>
              <w:rPr>
                <w:rFonts w:hint="eastAsia" w:ascii="仿宋" w:hAnsi="仿宋" w:eastAsia="仿宋" w:cs="Times New Roman"/>
                <w:color w:val="000000"/>
                <w:kern w:val="2"/>
                <w:sz w:val="21"/>
                <w:szCs w:val="21"/>
              </w:rPr>
              <w:t>日</w:t>
            </w:r>
          </w:p>
        </w:tc>
      </w:tr>
      <w:tr w14:paraId="4F6A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7" w:type="dxa"/>
            <w:gridSpan w:val="3"/>
            <w:tcBorders>
              <w:top w:val="single" w:color="auto" w:sz="4" w:space="0"/>
              <w:bottom w:val="single" w:color="auto" w:sz="4" w:space="0"/>
            </w:tcBorders>
            <w:vAlign w:val="center"/>
          </w:tcPr>
          <w:p w14:paraId="48A7122D">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作者</w:t>
            </w:r>
          </w:p>
        </w:tc>
        <w:tc>
          <w:tcPr>
            <w:tcW w:w="1565" w:type="dxa"/>
            <w:gridSpan w:val="6"/>
            <w:tcBorders>
              <w:top w:val="single" w:color="auto" w:sz="4" w:space="0"/>
              <w:bottom w:val="single" w:color="auto" w:sz="4" w:space="0"/>
            </w:tcBorders>
            <w:vAlign w:val="center"/>
          </w:tcPr>
          <w:p w14:paraId="2EA8277E">
            <w:pPr>
              <w:autoSpaceDE/>
              <w:autoSpaceDN/>
              <w:spacing w:line="300" w:lineRule="exact"/>
              <w:jc w:val="both"/>
              <w:rPr>
                <w:rFonts w:hint="eastAsia" w:ascii="仿宋" w:hAnsi="仿宋" w:eastAsia="仿宋" w:cs="Times New Roman"/>
                <w:color w:val="000000"/>
                <w:kern w:val="2"/>
                <w:sz w:val="32"/>
                <w:szCs w:val="21"/>
                <w:lang w:val="en-US" w:eastAsia="zh-CN"/>
              </w:rPr>
            </w:pPr>
            <w:r>
              <w:rPr>
                <w:rFonts w:hint="eastAsia" w:ascii="仿宋" w:hAnsi="仿宋" w:eastAsia="仿宋" w:cs="Times New Roman"/>
                <w:color w:val="000000"/>
                <w:kern w:val="2"/>
                <w:sz w:val="21"/>
                <w:szCs w:val="21"/>
                <w:lang w:val="en-US" w:eastAsia="zh-CN"/>
              </w:rPr>
              <w:t>陈昊</w:t>
            </w:r>
          </w:p>
        </w:tc>
        <w:tc>
          <w:tcPr>
            <w:tcW w:w="992" w:type="dxa"/>
            <w:tcBorders>
              <w:top w:val="single" w:color="auto" w:sz="4" w:space="0"/>
              <w:bottom w:val="single" w:color="auto" w:sz="4" w:space="0"/>
            </w:tcBorders>
            <w:vAlign w:val="center"/>
          </w:tcPr>
          <w:p w14:paraId="3FD35FF3">
            <w:pPr>
              <w:autoSpaceDE/>
              <w:autoSpaceDN/>
              <w:spacing w:line="300" w:lineRule="exact"/>
              <w:jc w:val="both"/>
              <w:rPr>
                <w:rFonts w:hint="eastAsia" w:ascii="仿宋" w:hAnsi="仿宋" w:eastAsia="仿宋" w:cs="Times New Roman"/>
                <w:color w:val="000000"/>
                <w:kern w:val="2"/>
                <w:sz w:val="32"/>
                <w:szCs w:val="21"/>
              </w:rPr>
            </w:pPr>
            <w:r>
              <w:rPr>
                <w:rFonts w:hint="eastAsia" w:ascii="华文中宋" w:hAnsi="华文中宋" w:eastAsia="华文中宋" w:cs="Times New Roman"/>
                <w:color w:val="000000"/>
                <w:kern w:val="2"/>
                <w:sz w:val="28"/>
              </w:rPr>
              <w:t>单位</w:t>
            </w:r>
          </w:p>
        </w:tc>
        <w:tc>
          <w:tcPr>
            <w:tcW w:w="2693" w:type="dxa"/>
            <w:gridSpan w:val="6"/>
            <w:tcBorders>
              <w:top w:val="single" w:color="auto" w:sz="4" w:space="0"/>
              <w:bottom w:val="single" w:color="auto" w:sz="4" w:space="0"/>
            </w:tcBorders>
            <w:vAlign w:val="center"/>
          </w:tcPr>
          <w:p w14:paraId="4AA87070">
            <w:pPr>
              <w:autoSpaceDE/>
              <w:autoSpaceDN/>
              <w:spacing w:line="300" w:lineRule="exact"/>
              <w:jc w:val="both"/>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南昌广播电视台</w:t>
            </w:r>
          </w:p>
        </w:tc>
        <w:tc>
          <w:tcPr>
            <w:tcW w:w="993" w:type="dxa"/>
            <w:gridSpan w:val="2"/>
            <w:tcBorders>
              <w:top w:val="single" w:color="auto" w:sz="4" w:space="0"/>
              <w:bottom w:val="single" w:color="auto" w:sz="4" w:space="0"/>
            </w:tcBorders>
            <w:vAlign w:val="center"/>
          </w:tcPr>
          <w:p w14:paraId="5FA07821">
            <w:pPr>
              <w:autoSpaceDE/>
              <w:autoSpaceDN/>
              <w:spacing w:line="300" w:lineRule="exact"/>
              <w:jc w:val="both"/>
              <w:rPr>
                <w:rFonts w:hint="eastAsia" w:ascii="仿宋" w:hAnsi="仿宋" w:eastAsia="仿宋" w:cs="Times New Roman"/>
                <w:color w:val="000000"/>
                <w:kern w:val="2"/>
                <w:sz w:val="21"/>
                <w:szCs w:val="21"/>
              </w:rPr>
            </w:pPr>
            <w:r>
              <w:rPr>
                <w:rFonts w:hint="eastAsia" w:ascii="华文中宋" w:hAnsi="华文中宋" w:eastAsia="华文中宋" w:cs="Times New Roman"/>
                <w:color w:val="000000"/>
                <w:kern w:val="2"/>
                <w:sz w:val="28"/>
              </w:rPr>
              <w:t>手机</w:t>
            </w:r>
          </w:p>
        </w:tc>
        <w:tc>
          <w:tcPr>
            <w:tcW w:w="2126" w:type="dxa"/>
            <w:gridSpan w:val="6"/>
            <w:tcBorders>
              <w:top w:val="single" w:color="auto" w:sz="4" w:space="0"/>
              <w:bottom w:val="single" w:color="auto" w:sz="4" w:space="0"/>
            </w:tcBorders>
            <w:vAlign w:val="center"/>
          </w:tcPr>
          <w:p w14:paraId="64605DA2">
            <w:pPr>
              <w:autoSpaceDE/>
              <w:autoSpaceDN/>
              <w:spacing w:line="300" w:lineRule="exact"/>
              <w:jc w:val="both"/>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18172830612</w:t>
            </w:r>
          </w:p>
        </w:tc>
      </w:tr>
    </w:tbl>
    <w:p w14:paraId="7DEE25DA">
      <w:pPr>
        <w:widowControl/>
        <w:autoSpaceDE/>
        <w:autoSpaceDN/>
        <w:spacing w:before="120" w:beforeLines="50" w:after="120" w:afterLines="50" w:line="560" w:lineRule="exact"/>
        <w:jc w:val="both"/>
        <w:rPr>
          <w:rFonts w:hint="eastAsia" w:ascii="仿宋" w:hAnsi="仿宋" w:eastAsia="仿宋" w:cs="CESI仿宋-GB2312"/>
          <w:kern w:val="2"/>
          <w:sz w:val="18"/>
          <w:szCs w:val="18"/>
        </w:rPr>
      </w:pPr>
      <w:r>
        <w:rPr>
          <w:rFonts w:hint="eastAsia" w:ascii="仿宋" w:hAnsi="仿宋" w:eastAsia="仿宋" w:cs="CESI仿宋-GB2312"/>
          <w:kern w:val="2"/>
          <w:sz w:val="18"/>
          <w:szCs w:val="18"/>
        </w:rPr>
        <w:t>为了规范统一，按照提示填写。不要改变表格格式、字体字号，填写内容用仿宋5号字体。</w:t>
      </w:r>
    </w:p>
    <w:p w14:paraId="1C5C3151">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r>
        <w:rPr>
          <w:rFonts w:hint="eastAsia" w:ascii="仿宋" w:hAnsi="仿宋" w:eastAsia="仿宋" w:cs="CESI仿宋-GB2312"/>
          <w:kern w:val="2"/>
          <w:sz w:val="18"/>
          <w:szCs w:val="18"/>
          <w:lang w:eastAsia="zh-CN"/>
        </w:rPr>
        <w:drawing>
          <wp:inline distT="0" distB="0" distL="114300" distR="114300">
            <wp:extent cx="5271135" cy="7402195"/>
            <wp:effectExtent l="0" t="0" r="1905" b="4445"/>
            <wp:docPr id="8" name="图片 8"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面"/>
                    <pic:cNvPicPr>
                      <a:picLocks noChangeAspect="1"/>
                    </pic:cNvPicPr>
                  </pic:nvPicPr>
                  <pic:blipFill>
                    <a:blip r:embed="rId4"/>
                    <a:stretch>
                      <a:fillRect/>
                    </a:stretch>
                  </pic:blipFill>
                  <pic:spPr>
                    <a:xfrm>
                      <a:off x="0" y="0"/>
                      <a:ext cx="5271135" cy="7402195"/>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70500" cy="7416800"/>
            <wp:effectExtent l="0" t="0" r="2540" b="5080"/>
            <wp:docPr id="7" name="图片 7" descr="目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目录1"/>
                    <pic:cNvPicPr>
                      <a:picLocks noChangeAspect="1"/>
                    </pic:cNvPicPr>
                  </pic:nvPicPr>
                  <pic:blipFill>
                    <a:blip r:embed="rId5"/>
                    <a:stretch>
                      <a:fillRect/>
                    </a:stretch>
                  </pic:blipFill>
                  <pic:spPr>
                    <a:xfrm>
                      <a:off x="0" y="0"/>
                      <a:ext cx="5270500" cy="7416800"/>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69230" cy="7392670"/>
            <wp:effectExtent l="0" t="0" r="3810" b="13970"/>
            <wp:docPr id="6" name="图片 6" descr="目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目录2"/>
                    <pic:cNvPicPr>
                      <a:picLocks noChangeAspect="1"/>
                    </pic:cNvPicPr>
                  </pic:nvPicPr>
                  <pic:blipFill>
                    <a:blip r:embed="rId6"/>
                    <a:stretch>
                      <a:fillRect/>
                    </a:stretch>
                  </pic:blipFill>
                  <pic:spPr>
                    <a:xfrm>
                      <a:off x="0" y="0"/>
                      <a:ext cx="5269230" cy="7392670"/>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00650" cy="7391400"/>
            <wp:effectExtent l="0" t="0" r="11430" b="0"/>
            <wp:docPr id="5" name="图片 5" descr="正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正文"/>
                    <pic:cNvPicPr>
                      <a:picLocks noChangeAspect="1"/>
                    </pic:cNvPicPr>
                  </pic:nvPicPr>
                  <pic:blipFill>
                    <a:blip r:embed="rId7"/>
                    <a:stretch>
                      <a:fillRect/>
                    </a:stretch>
                  </pic:blipFill>
                  <pic:spPr>
                    <a:xfrm>
                      <a:off x="0" y="0"/>
                      <a:ext cx="5200650" cy="7391400"/>
                    </a:xfrm>
                    <a:prstGeom prst="rect">
                      <a:avLst/>
                    </a:prstGeom>
                  </pic:spPr>
                </pic:pic>
              </a:graphicData>
            </a:graphic>
          </wp:inline>
        </w:drawing>
      </w:r>
    </w:p>
    <w:p w14:paraId="54116A9C">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667970BE">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68A5477F">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10D2E2B6">
      <w:pPr>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新闻业务研究</w:t>
      </w:r>
    </w:p>
    <w:p w14:paraId="1E133BDA">
      <w:pPr>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0B28A470">
      <w:pPr>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3DA8357A">
      <w:pPr>
        <w:pStyle w:val="2"/>
        <w:pageBreakBefore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0" w:firstLineChars="0"/>
        <w:jc w:val="center"/>
        <w:textAlignment w:val="auto"/>
        <w:rPr>
          <w:rFonts w:hint="eastAsia" w:ascii="黑体" w:hAnsi="黑体" w:eastAsia="黑体" w:cs="黑体"/>
          <w:b w:val="0"/>
          <w:sz w:val="32"/>
          <w:szCs w:val="32"/>
        </w:rPr>
      </w:pPr>
      <w:r>
        <w:rPr>
          <w:rFonts w:hint="eastAsia" w:ascii="黑体" w:hAnsi="黑体" w:eastAsia="黑体" w:cs="黑体"/>
          <w:b w:val="0"/>
          <w:sz w:val="32"/>
          <w:szCs w:val="32"/>
        </w:rPr>
        <w:t>微短剧全球传播中“使用与满足”理论的实践与探索</w:t>
      </w:r>
    </w:p>
    <w:p w14:paraId="4ECE8A47">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03327911">
      <w:pPr>
        <w:pageBreakBefore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仿宋" w:hAnsi="仿宋" w:eastAsia="仿宋" w:cs="仿宋"/>
          <w:b w:val="0"/>
          <w:sz w:val="24"/>
          <w:szCs w:val="24"/>
          <w:lang w:val="en-US" w:eastAsia="zh-CN"/>
        </w:rPr>
      </w:pPr>
      <w:r>
        <w:rPr>
          <w:rFonts w:hint="eastAsia" w:ascii="仿宋" w:hAnsi="仿宋" w:eastAsia="仿宋" w:cs="仿宋"/>
          <w:b w:val="0"/>
          <w:sz w:val="24"/>
          <w:szCs w:val="24"/>
          <w:lang w:val="en-US" w:eastAsia="zh-CN"/>
        </w:rPr>
        <w:t>作者：陈昊、吴涧梁、梁舒琦</w:t>
      </w:r>
    </w:p>
    <w:p w14:paraId="79D87F18">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rPr>
      </w:pPr>
    </w:p>
    <w:p w14:paraId="49553E33">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rPr>
      </w:pPr>
    </w:p>
    <w:p w14:paraId="3A504706">
      <w:pPr>
        <w:pageBreakBefore w:val="0"/>
        <w:kinsoku/>
        <w:wordWrap/>
        <w:overflowPunct/>
        <w:topLinePunct w:val="0"/>
        <w:autoSpaceDE/>
        <w:autoSpaceDN/>
        <w:bidi w:val="0"/>
        <w:adjustRightInd/>
        <w:snapToGrid/>
        <w:spacing w:beforeAutospacing="0" w:afterAutospacing="0" w:line="560" w:lineRule="exact"/>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b/>
          <w:bCs/>
          <w:i w:val="0"/>
          <w:sz w:val="28"/>
          <w:szCs w:val="28"/>
          <w:lang w:val="en-US" w:eastAsia="zh-CN"/>
        </w:rPr>
        <w:t>【摘要】</w:t>
      </w:r>
      <w:r>
        <w:rPr>
          <w:rFonts w:hint="eastAsia" w:ascii="仿宋" w:hAnsi="仿宋" w:eastAsia="仿宋" w:cs="仿宋"/>
          <w:b w:val="0"/>
          <w:i w:val="0"/>
          <w:sz w:val="28"/>
          <w:szCs w:val="28"/>
          <w:lang w:val="en-US" w:eastAsia="zh-CN"/>
        </w:rPr>
        <w:t>微短剧作为一种蓬勃兴起的数字娱乐形式，在全球范围内赢得了广泛的关注目光。本文将以“使用与满足”理论为基石，紧密结合近几年国内外炙手可热的微短剧案例，从用户认知需求、情感需求以及社会需求这三个维度展开分析。进而总结微短剧在全球化传播过程中所积累的宝贵经验。同时，微短剧在满足用户多种需求的同时，也为全球化传播提供了新的机遇和挑战。</w:t>
      </w:r>
    </w:p>
    <w:p w14:paraId="7FB7268A">
      <w:pPr>
        <w:pageBreakBefore w:val="0"/>
        <w:kinsoku/>
        <w:wordWrap/>
        <w:overflowPunct/>
        <w:topLinePunct w:val="0"/>
        <w:autoSpaceDE/>
        <w:autoSpaceDN/>
        <w:bidi w:val="0"/>
        <w:adjustRightInd/>
        <w:snapToGrid/>
        <w:spacing w:beforeAutospacing="0" w:afterAutospacing="0" w:line="560" w:lineRule="exact"/>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b/>
          <w:bCs/>
          <w:i w:val="0"/>
          <w:sz w:val="28"/>
          <w:szCs w:val="28"/>
          <w:lang w:val="en-US" w:eastAsia="zh-CN"/>
        </w:rPr>
        <w:t>【关键词】</w:t>
      </w:r>
      <w:r>
        <w:rPr>
          <w:rFonts w:hint="eastAsia" w:ascii="仿宋" w:hAnsi="仿宋" w:eastAsia="仿宋" w:cs="仿宋"/>
          <w:b w:val="0"/>
          <w:i w:val="0"/>
          <w:sz w:val="28"/>
          <w:szCs w:val="28"/>
          <w:lang w:val="en-US" w:eastAsia="zh-CN"/>
        </w:rPr>
        <w:t>微短剧；使用与满足理论；跨文化传播；用户需求；国际传播</w:t>
      </w:r>
    </w:p>
    <w:p w14:paraId="490EF5FC">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p>
    <w:p w14:paraId="047A3DAF">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短剧是一种新兴的影视形式，以剧情紧凑、节奏快速、单集时长短为特点，通常每集时长从几十秒到十几分钟不等，且集数较少，一般在几集到几十集之间。中国微短剧的起源可以追溯至2013年，当时的作品如《万万没想到》和《屌丝男士》等网络剧集以创新叙事和短小精悍的内容形式迅速俘获了用户，开启了微短剧的初步市场。这些剧集逐步培养了用户对简洁明快、风格多样的短剧内容的需求，并在此后的几年中奠定了短剧的用户基础。2023年，微短剧市场呈现爆发式增长态势，涵盖喜剧、悬疑、科幻、历史等多种题材。《逃出大英博物馆》《二十九》《我在长征路上开超市》等作品以紧凑的情节和丰富的表现形式吸引大量受众，为市场注入新活力。在竞争激烈的市场环境下，各方加紧创新步伐，探索新的叙事手法、视觉风格和平台传播策略，以满足不断扩大的市场需求。随着国内市场逐渐饱和，微短剧积极迈向国际，寻求全球化传播机会。</w:t>
      </w:r>
    </w:p>
    <w:p w14:paraId="35CE35B3">
      <w:pPr>
        <w:pageBreakBefore w:val="0"/>
        <w:kinsoku/>
        <w:wordWrap/>
        <w:overflowPunct/>
        <w:topLinePunct w:val="0"/>
        <w:autoSpaceDE/>
        <w:autoSpaceDN/>
        <w:bidi w:val="0"/>
        <w:adjustRightInd/>
        <w:snapToGrid/>
        <w:spacing w:beforeAutospacing="0" w:afterAutospacing="0" w:line="560" w:lineRule="exact"/>
        <w:ind w:right="0" w:rightChars="0"/>
        <w:jc w:val="both"/>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一、微短剧在“使用与满足”理论中的适用性分析</w:t>
      </w:r>
    </w:p>
    <w:p w14:paraId="6F395113">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“使用与满足理论”（Uses and Gratifications Theory）认为受众会选择特定媒体和内容，以满足自身心理和社交需求。微短剧通过短小精悍的内容、紧凑的情节设计和新颖的主题，满足了受众的多种需求。因此，微短剧的剧情设计往往采用受众熟悉的“常识性积累”进行叙事，将角色设定简化并通过紧凑的故事情节来推动剧情。例如都市甜宠剧和古装剧《逃婚的千金》《传闻中的陈芊芊》等作品，主角多采用“欢喜冤家”的经典角色设定，以“一见钟情”“英雄救美”等常见情节，这样的叙事策略让受众轻松理解情节并产生代入感，增加了受众对故事的接受度和情感共鸣。</w:t>
      </w:r>
    </w:p>
    <w:p w14:paraId="7A557441">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与传统长篇剧集相比，微短剧凭借其独特的剧情集中、节奏紧凑、结构清晰等优势，迅速脱颖而出，成为填补这一情感需求缺口的理想选择。通过对受众的情感需求提供即时满足，微短剧有效帮助他们释放积聚的情绪，成为日常生活中快速获取情感“补给”的方式。这一特点不仅帮助受众缓解了因时间限制而带来的情感表达压力，也让微短剧成为现代社会中的独特情感消费媒介。</w:t>
      </w:r>
    </w:p>
    <w:p w14:paraId="3007A40E">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外，微短剧的播放平台集中于社交媒体上，社交属性赋予了它更强的互动性。在短剧平台的评论区，受众可以表达观感和讨论剧情，这种高互动性不仅加强了受众的参与感，还使他们在讨论中形成社区归属感。受众的积极互动形成了微短剧独特的社交氛围，使得受众不仅是内容的接受者，更是内容传播和讨论的积极参与者。</w:t>
      </w:r>
    </w:p>
    <w:p w14:paraId="28E0AD99">
      <w:pPr>
        <w:pageBreakBefore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二、文化适应与内容本地化：微短剧如何迎合不同文化需求</w:t>
      </w:r>
    </w:p>
    <w:p w14:paraId="1CFCE6E4">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依据“选择性接触”（Selective Exposure）理论，受众通常关注与自身文化相关的内容，本土剧因文化契合度高，易引起受众共鸣。因此，海外市场的短剧在本地化时面临激烈竞争，而其中如何做好本土化和文化适应性成为关键。例如，在东南亚市场，中国微短剧类型如“赘婿”“霸道总裁”“穿越”等得到广泛传播。通过同步更新和多样题材，这些微短剧缩短了文化距离，赢得了东南亚受众的认同与喜爱。在北美和欧洲等西方市场，微短剧则聚焦于“狼人”“吸血鬼”等西方题材，以欧美演员和当地拍摄团队，保留中国微短剧的核心内容，融入西方文化背景和审美偏好，借此激发受众共鸣。通过此类本土化策略，中国微短剧在西方市场逐渐赢得了一席之地。例如，《命中注定我禁忌的阿尔法》（Fated to My Forbidden Alpha）的剧情包含西方文化中深受喜爱的狼人、奇幻等元素，同时融入爱情和冒险主题，使故事情节更为丰富，从而成功吸引西方受众的兴趣并提升其观看体验。</w:t>
      </w:r>
    </w:p>
    <w:p w14:paraId="52777F52">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全球化时代，微短剧凭借其独特的魅力，以爱情、亲情、友情等通用情感为纽带，成功跨越了文化差异的鸿沟，深入满足了不同文化背景下受众的情感需求。如今，短剧消费在全球范围内呈现出明显的地域集中趋势，主要活跃于欧洲、美国以及东南亚等市场，而这些地区的受众需求又各具特色，展现出多样化的态势。</w:t>
      </w:r>
    </w:p>
    <w:p w14:paraId="65343C59">
      <w:pPr>
        <w:pageBreakBefore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三、现存困境</w:t>
      </w:r>
    </w:p>
    <w:p w14:paraId="37929680">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当今全球文化产业领域，微短剧行业如同一颗迅速崛起的新星，展现出了令人瞩目的商业潜力，成为新的风口。众多出圈的微短剧凭借其独特的魅力，收获了巨额的分账回报，吸引了大量的关注和投入。然而，在这看似繁荣的背后，微短剧行业出海将面临着诸多严峻的问题和挑战。</w:t>
      </w:r>
    </w:p>
    <w:p w14:paraId="314CC820">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许多入局者为了抢占市场先机，盲目地进行申报备案，企图在短时间内实现盈利收入。他们缺乏对市场的深入调研和对自身创作能力的准确评估，仅仅是看到微短剧行业表面的繁荣，便跟风而上。这种盲目行为导致了大量的项目仓促启动，但在实际操作过程中，却往往因为缺乏合理的规划和准备，无法顺利推进，最终许多项目只能搁置或流产。与此同时，部分创作者和制作方在市场导向下走向了另一个极端——将目光仅仅聚焦在流量和点击率上，而忽视了对作品质量的严格把关。内容质量参差不齐的现象极为严重。部分微短剧为了追求快速产出和短期利益，在剧本创作上敷衍了事，情节设置缺乏逻辑性和连贯性，导致市场中出现了大量低质量的微短剧。</w:t>
      </w:r>
    </w:p>
    <w:p w14:paraId="2D3B0A28">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这样的生产乱象背景下，“使用与满足”理论在微短剧领域的适用性正面临着严峻的挑战。质量低下、缺乏创新的微短剧难以真正满足受众的这些需求。受众在观看这些微短剧时，无法获得高质量的信息和有深度的情感体验，娱乐消遣的效果也大打折扣。</w:t>
      </w:r>
    </w:p>
    <w:p w14:paraId="13040589">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外，不同国家的法律法规在短剧内容审查方面呈现出显著的差异。在中国，短剧内容审查制度严谨而细致，对于暴力、性别敏感内容以及政治敏感话题等都设定了严格的审查标准。这是为了确保在中国市场上播出的短剧能够积极传播正能量，符合社会主义核心价值观和文化道德标准。</w:t>
      </w:r>
    </w:p>
    <w:p w14:paraId="2D52B888">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与之形成对比的是，西方国家的审查制度相对宽松。这一特点在一定程度上为中国短剧在西方市场的创作与播放提供了更为广阔的空间和更大的自由度。然而，这并不意味着可以肆意妄为，内容创作者依然必须严格遵守当地的法律法规，时刻保持警惕，避免触及法律禁忌和道德底线。例如，在一些西方国家，虽然对于暴力内容的审查相对宽松，但对于涉及种族歧视、仇恨言论等方面的内容却有着严格的限制。中国短剧创作者在西方市场创作时，需要充分了解这些法律规定，确保作品在符合当地法律的前提下，展现出中国文化的特色和魅力。</w:t>
      </w:r>
    </w:p>
    <w:p w14:paraId="4235E95B">
      <w:pPr>
        <w:pageBreakBefore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四、未来趋势与发展方向</w:t>
      </w:r>
    </w:p>
    <w:p w14:paraId="76E6E4E9">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在AIGC（AI-Generated Content）时代，生成式人工智能成为微短剧创作的重要推动力，为内容创作注入了前所未有的创新动能。AIGC大幅降低了内容生产的技术门槛，使专业团队与普通创作者都能利用AI工具高效构思和制作微短剧，迅速响应市场对多样化内容的需求。</w:t>
      </w:r>
    </w:p>
    <w:p w14:paraId="05CAF402">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生成式AI，编剧和制作团队能够借助自然语言处理工具快速完成剧情设定和脚本撰写，极大缩短了前期策划时间。这类工具可以将简单的情节概述转化为完整的台词、叙述结构和场景设定，使得内容创作更加流畅，并有助于不同风格的内容快速成型。</w:t>
      </w:r>
    </w:p>
    <w:p w14:paraId="1558789E">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未来，随着AIGC技术的进一步发展，微短剧内容创作将更具灵活性和互动性。生成式AI的深度学习模型将继续丰富内容形式和传播方式，使受众体验到更加个性化、沉浸式的观剧体验。这一趋势不仅推动微短剧行业快速发展，还将引领数字时代娱乐内容消费模式的深度变革。</w:t>
      </w:r>
    </w:p>
    <w:p w14:paraId="4175EE62">
      <w:pPr>
        <w:pageBreakBefore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五、结语</w:t>
      </w:r>
    </w:p>
    <w:p w14:paraId="1440C5F9">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微短剧作为数字媒体蓬勃发展的时代产物，以其独特的魅力赢得了市场和受众的喜爱。它“剧情紧凑”“制作成本低”“主题明确”这些特征，在很大程度上满足了受</w:t>
      </w:r>
      <w:bookmarkStart w:id="0" w:name="_GoBack"/>
      <w:bookmarkEnd w:id="0"/>
      <w:r>
        <w:rPr>
          <w:rFonts w:hint="eastAsia" w:ascii="仿宋" w:hAnsi="仿宋" w:eastAsia="仿宋" w:cs="仿宋"/>
          <w:sz w:val="28"/>
          <w:szCs w:val="28"/>
          <w:lang w:val="en-US" w:eastAsia="zh-CN"/>
        </w:rPr>
        <w:t>众在认知、情感和社会需求方面的关注。</w:t>
      </w:r>
    </w:p>
    <w:p w14:paraId="5BEB094F">
      <w:pPr>
        <w:pageBreakBefore w:val="0"/>
        <w:kinsoku/>
        <w:wordWrap/>
        <w:overflowPunct/>
        <w:topLinePunct w:val="0"/>
        <w:autoSpaceDE/>
        <w:autoSpaceDN/>
        <w:bidi w:val="0"/>
        <w:adjustRightInd/>
        <w:snapToGrid/>
        <w:spacing w:beforeAutospacing="0" w:afterAutospacing="0" w:line="560" w:lineRule="exact"/>
        <w:ind w:left="0" w:leftChars="0" w:right="0" w:rightChars="0" w:firstLine="556" w:firstLineChars="20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然而，随着微短剧从中国本土走向世界，它也面临着全球化的适应与挑战。一方面，不同国家和地区的文化、审美各不相同，微短剧需要在内容和形式上进行适当的调整与创新，以满足各地区受众的需求。另一方面，行业发展迅速也带来了一些问题，如部分微短剧质量参差不齐，存在剧情雷同、制作粗糙、价值观扭曲等现象，影响了微短剧的整体形象和传播效果。这既需要相关从业者进行深入的思考，也需要各方付出努力来优化和改善。不过，未来AIGC（人工智能生成内容）和IP共创等发展趋势的融合或许能为微短剧的全球化传播以及丰富用户的“使用与满足”带来新的可能性。</w:t>
      </w:r>
    </w:p>
    <w:p w14:paraId="6BEFFC98">
      <w:pPr>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CESI仿宋-GB2312"/>
          <w:kern w:val="2"/>
          <w:sz w:val="18"/>
          <w:szCs w:val="18"/>
          <w:lang w:eastAsia="zh-CN"/>
        </w:rPr>
      </w:pPr>
    </w:p>
    <w:sectPr>
      <w:pgSz w:w="11906" w:h="16838"/>
      <w:pgMar w:top="1440" w:right="1797" w:bottom="1440" w:left="1797" w:header="851" w:footer="992" w:gutter="0"/>
      <w:cols w:space="0" w:num="1"/>
      <w:rtlGutter w:val="0"/>
      <w:docGrid w:type="linesAndChars" w:linePitch="410" w:charSpace="-6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768FD4-F255-492C-8628-5A2F5708DC0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6564F9E8-280D-46E1-8BE2-29C2CB7B5AEA}"/>
  </w:font>
  <w:font w:name="华文中宋">
    <w:panose1 w:val="02010600040101010101"/>
    <w:charset w:val="86"/>
    <w:family w:val="auto"/>
    <w:pitch w:val="default"/>
    <w:sig w:usb0="00000287" w:usb1="080F0000" w:usb2="00000000" w:usb3="00000000" w:csb0="0004009F" w:csb1="DFD70000"/>
    <w:embedRegular r:id="rId3" w:fontKey="{206BE3B9-0CB9-420A-B16D-1D88D3B1AE75}"/>
  </w:font>
  <w:font w:name="方正小标宋简体">
    <w:panose1 w:val="03000509000000000000"/>
    <w:charset w:val="86"/>
    <w:family w:val="script"/>
    <w:pitch w:val="default"/>
    <w:sig w:usb0="00000001" w:usb1="080E0000" w:usb2="00000000" w:usb3="00000000" w:csb0="00040000" w:csb1="00000000"/>
    <w:embedRegular r:id="rId4" w:fontKey="{63D28F1D-197F-4B6C-B057-8066536ADD97}"/>
  </w:font>
  <w:font w:name="仿宋_GB2312">
    <w:panose1 w:val="02010609030101010101"/>
    <w:charset w:val="86"/>
    <w:family w:val="modern"/>
    <w:pitch w:val="default"/>
    <w:sig w:usb0="00000001" w:usb1="080E0000" w:usb2="00000000" w:usb3="00000000" w:csb0="00040000" w:csb1="00000000"/>
    <w:embedRegular r:id="rId5" w:fontKey="{1321376B-D0B6-4A2B-AFCB-B673EEEC2D8D}"/>
  </w:font>
  <w:font w:name="CESI仿宋-GB2312">
    <w:altName w:val="仿宋"/>
    <w:panose1 w:val="02000500000000000000"/>
    <w:charset w:val="86"/>
    <w:family w:val="auto"/>
    <w:pitch w:val="default"/>
    <w:sig w:usb0="00000000" w:usb1="00000000" w:usb2="00000010" w:usb3="00000000" w:csb0="0004000F" w:csb1="00000000"/>
    <w:embedRegular r:id="rId6" w:fontKey="{CFEA1EA8-04C0-4FBA-857D-1335AA0713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HorizontalSpacing w:val="139"/>
  <w:drawingGridVerticalSpacing w:val="205"/>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A67204"/>
    <w:rsid w:val="1A461F38"/>
    <w:rsid w:val="2323398E"/>
    <w:rsid w:val="2B277051"/>
    <w:rsid w:val="5AD8679B"/>
    <w:rsid w:val="6AAA1F6F"/>
    <w:rsid w:val="77A67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widowControl/>
      <w:tabs>
        <w:tab w:val="center" w:pos="4153"/>
        <w:tab w:val="right" w:pos="8306"/>
      </w:tabs>
      <w:snapToGrid w:val="0"/>
      <w:spacing w:before="50" w:beforeLines="50" w:after="50" w:afterLines="50"/>
      <w:ind w:firstLine="700" w:firstLineChars="700"/>
      <w:jc w:val="left"/>
    </w:pPr>
    <w:rPr>
      <w:rFonts w:ascii="Calibri" w:hAnsi="Calibri" w:eastAsia="仿宋" w:cs="Times New Roman"/>
      <w:sz w:val="18"/>
      <w:szCs w:val="18"/>
    </w:rPr>
  </w:style>
  <w:style w:type="paragraph" w:styleId="4">
    <w:name w:val="header"/>
    <w:basedOn w:val="1"/>
    <w:qFormat/>
    <w:uiPriority w:val="0"/>
    <w:pPr>
      <w:widowControl/>
      <w:tabs>
        <w:tab w:val="center" w:pos="4153"/>
        <w:tab w:val="right" w:pos="8306"/>
      </w:tabs>
      <w:snapToGrid w:val="0"/>
      <w:spacing w:before="50" w:beforeLines="50" w:after="50" w:afterLines="50"/>
      <w:ind w:firstLine="700" w:firstLineChars="700"/>
      <w:jc w:val="center"/>
    </w:pPr>
    <w:rPr>
      <w:rFonts w:ascii="Calibri" w:hAnsi="Calibri" w:eastAsia="仿宋"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4031</Words>
  <Characters>4152</Characters>
  <Lines>0</Lines>
  <Paragraphs>0</Paragraphs>
  <TotalTime>11</TotalTime>
  <ScaleCrop>false</ScaleCrop>
  <LinksUpToDate>false</LinksUpToDate>
  <CharactersWithSpaces>4231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2026-01-07T06:48:00Z</dcterms:created>
  <dc:creator>蔡磊</dc:creator>
  <cp:lastModifiedBy>蔡磊</cp:lastModifiedBy>
  <cp:lastPrinted>2026-01-12T05:00:00Z</cp:lastPrinted>
  <dcterms:modified xsi:type="dcterms:W3CDTF">2026-01-14T04:54:06Z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3ABD5E4C28B64E43B27E738DD5ADC3EC_11</vt:lpwstr>
  </property>
  <property fmtid="{D5CDD505-2E9C-101B-9397-08002B2CF9AE}" pid="4" name="KSOTemplateDocerSaveRecord">
    <vt:lpwstr>eyJoZGlkIjoiYzJmOTUxZjBjZGU1MDUzNDg5NTgyZTgxMzg1ZDNiMDAiLCJ1c2VySWQiOiIxNTExODg3MzgwIn0=</vt:lpwstr>
  </property>
</Properties>
</file>